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DE" w:rsidRPr="00882B4B" w:rsidRDefault="00D81ADE" w:rsidP="00882B4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82B4B">
        <w:rPr>
          <w:rFonts w:asciiTheme="majorBidi" w:hAnsiTheme="majorBidi" w:cstheme="majorBidi"/>
          <w:b/>
          <w:sz w:val="24"/>
          <w:szCs w:val="24"/>
        </w:rPr>
        <w:t>PROGNOSTIC SIGNIFICANCE OF MINOR TROPONIN ELEVATION IN PATIENTS WITH NEW ONSET ATRIAL FIBRILLATION</w:t>
      </w:r>
    </w:p>
    <w:p w:rsidR="00882B4B" w:rsidRPr="00882B4B" w:rsidRDefault="00882B4B" w:rsidP="00882B4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82B4B">
        <w:rPr>
          <w:rFonts w:asciiTheme="majorBidi" w:hAnsiTheme="majorBidi" w:cstheme="majorBidi"/>
          <w:sz w:val="24"/>
          <w:szCs w:val="24"/>
        </w:rPr>
        <w:t>S.K. Mathias</w:t>
      </w:r>
      <w:r w:rsidRPr="00882B4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882B4B">
        <w:rPr>
          <w:rFonts w:asciiTheme="majorBidi" w:hAnsiTheme="majorBidi" w:cstheme="majorBidi"/>
          <w:sz w:val="24"/>
          <w:szCs w:val="24"/>
        </w:rPr>
        <w:t xml:space="preserve">, </w:t>
      </w:r>
      <w:r w:rsidRPr="003C6519">
        <w:rPr>
          <w:rFonts w:asciiTheme="majorBidi" w:hAnsiTheme="majorBidi" w:cstheme="majorBidi"/>
          <w:b/>
          <w:bCs/>
          <w:sz w:val="24"/>
          <w:szCs w:val="24"/>
          <w:u w:val="single"/>
        </w:rPr>
        <w:t>A.G. DeNazareth</w:t>
      </w:r>
      <w:r w:rsidRPr="003C6519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1</w:t>
      </w:r>
      <w:r w:rsidRPr="00882B4B">
        <w:rPr>
          <w:rFonts w:asciiTheme="majorBidi" w:hAnsiTheme="majorBidi" w:cstheme="majorBidi"/>
          <w:sz w:val="24"/>
          <w:szCs w:val="24"/>
        </w:rPr>
        <w:t>, J.A. Fernandes</w:t>
      </w:r>
      <w:r w:rsidRPr="00882B4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882B4B">
        <w:rPr>
          <w:rFonts w:asciiTheme="majorBidi" w:hAnsiTheme="majorBidi" w:cstheme="majorBidi"/>
          <w:sz w:val="24"/>
          <w:szCs w:val="24"/>
        </w:rPr>
        <w:t>, P. Gangi</w:t>
      </w:r>
      <w:r w:rsidRPr="00882B4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882B4B">
        <w:rPr>
          <w:rFonts w:asciiTheme="majorBidi" w:hAnsiTheme="majorBidi" w:cstheme="majorBidi"/>
          <w:sz w:val="24"/>
          <w:szCs w:val="24"/>
        </w:rPr>
        <w:t>, A. Smer</w:t>
      </w:r>
      <w:r w:rsidRPr="00882B4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882B4B">
        <w:rPr>
          <w:rFonts w:asciiTheme="majorBidi" w:hAnsiTheme="majorBidi" w:cstheme="majorBidi"/>
          <w:sz w:val="24"/>
          <w:szCs w:val="24"/>
        </w:rPr>
        <w:t>, V.M. Alla</w:t>
      </w:r>
      <w:r w:rsidRPr="00882B4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882B4B">
        <w:rPr>
          <w:rFonts w:asciiTheme="majorBidi" w:hAnsiTheme="majorBidi" w:cstheme="majorBidi"/>
          <w:sz w:val="24"/>
          <w:szCs w:val="24"/>
        </w:rPr>
        <w:t xml:space="preserve">, </w:t>
      </w:r>
    </w:p>
    <w:p w:rsidR="00882B4B" w:rsidRPr="00882B4B" w:rsidRDefault="00882B4B" w:rsidP="00882B4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82B4B">
        <w:rPr>
          <w:rFonts w:asciiTheme="majorBidi" w:hAnsiTheme="majorBidi" w:cstheme="majorBidi"/>
          <w:sz w:val="24"/>
          <w:szCs w:val="24"/>
        </w:rPr>
        <w:t>D.J. Esterbrooks</w:t>
      </w:r>
      <w:r w:rsidRPr="00882B4B">
        <w:rPr>
          <w:rFonts w:asciiTheme="majorBidi" w:hAnsiTheme="majorBidi" w:cstheme="majorBidi"/>
          <w:sz w:val="24"/>
          <w:szCs w:val="24"/>
          <w:vertAlign w:val="superscript"/>
        </w:rPr>
        <w:t>1</w:t>
      </w:r>
    </w:p>
    <w:p w:rsidR="00882B4B" w:rsidRPr="00882B4B" w:rsidRDefault="00882B4B" w:rsidP="00882B4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82B4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882B4B">
        <w:rPr>
          <w:rFonts w:asciiTheme="majorBidi" w:hAnsiTheme="majorBidi" w:cstheme="majorBidi"/>
          <w:sz w:val="24"/>
          <w:szCs w:val="24"/>
        </w:rPr>
        <w:t xml:space="preserve">Creighton University, Omaha, NE, </w:t>
      </w:r>
      <w:r w:rsidRPr="00882B4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882B4B">
        <w:rPr>
          <w:rFonts w:asciiTheme="majorBidi" w:hAnsiTheme="majorBidi" w:cstheme="majorBidi"/>
          <w:sz w:val="24"/>
          <w:szCs w:val="24"/>
        </w:rPr>
        <w:t>Alegent Health, Omaha, NE, USA</w:t>
      </w:r>
    </w:p>
    <w:p w:rsidR="00C11EB1" w:rsidRDefault="00C11EB1" w:rsidP="00882B4B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82B4B" w:rsidRPr="00882B4B" w:rsidRDefault="00D81ADE" w:rsidP="00882B4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2B4B">
        <w:rPr>
          <w:rFonts w:asciiTheme="majorBidi" w:hAnsiTheme="majorBidi" w:cstheme="majorBidi"/>
          <w:bCs/>
          <w:sz w:val="24"/>
          <w:szCs w:val="24"/>
        </w:rPr>
        <w:t>Background</w:t>
      </w:r>
      <w:r w:rsidRPr="00882B4B">
        <w:rPr>
          <w:rFonts w:asciiTheme="majorBidi" w:hAnsiTheme="majorBidi" w:cstheme="majorBidi"/>
          <w:sz w:val="24"/>
          <w:szCs w:val="24"/>
        </w:rPr>
        <w:t xml:space="preserve">:  </w:t>
      </w:r>
      <w:r w:rsidR="00B00A65">
        <w:rPr>
          <w:rFonts w:asciiTheme="majorBidi" w:hAnsiTheme="majorBidi" w:cstheme="majorBidi"/>
          <w:sz w:val="24"/>
          <w:szCs w:val="24"/>
        </w:rPr>
        <w:t>Elevated t</w:t>
      </w:r>
      <w:r w:rsidRPr="00882B4B">
        <w:rPr>
          <w:rFonts w:asciiTheme="majorBidi" w:hAnsiTheme="majorBidi" w:cstheme="majorBidi"/>
          <w:sz w:val="24"/>
          <w:szCs w:val="24"/>
        </w:rPr>
        <w:t xml:space="preserve">roponins are </w:t>
      </w:r>
      <w:r w:rsidR="00594BFD">
        <w:rPr>
          <w:rFonts w:asciiTheme="majorBidi" w:hAnsiTheme="majorBidi" w:cstheme="majorBidi"/>
          <w:sz w:val="24"/>
          <w:szCs w:val="24"/>
        </w:rPr>
        <w:t>known to predict adverse outcomes</w:t>
      </w:r>
      <w:r w:rsidRPr="00882B4B">
        <w:rPr>
          <w:rFonts w:asciiTheme="majorBidi" w:hAnsiTheme="majorBidi" w:cstheme="majorBidi"/>
          <w:sz w:val="24"/>
          <w:szCs w:val="24"/>
        </w:rPr>
        <w:t xml:space="preserve"> in patients presentin</w:t>
      </w:r>
      <w:r w:rsidR="00594BFD">
        <w:rPr>
          <w:rFonts w:asciiTheme="majorBidi" w:hAnsiTheme="majorBidi" w:cstheme="majorBidi"/>
          <w:sz w:val="24"/>
          <w:szCs w:val="24"/>
        </w:rPr>
        <w:t xml:space="preserve">g with atrial fibrillation (AF). </w:t>
      </w:r>
      <w:r w:rsidRPr="00882B4B">
        <w:rPr>
          <w:rFonts w:asciiTheme="majorBidi" w:hAnsiTheme="majorBidi" w:cstheme="majorBidi"/>
          <w:sz w:val="24"/>
          <w:szCs w:val="24"/>
        </w:rPr>
        <w:t xml:space="preserve">However, the significance of </w:t>
      </w:r>
      <w:r w:rsidR="00594BFD">
        <w:rPr>
          <w:rFonts w:asciiTheme="majorBidi" w:hAnsiTheme="majorBidi" w:cstheme="majorBidi"/>
          <w:sz w:val="24"/>
          <w:szCs w:val="24"/>
        </w:rPr>
        <w:t>indeterminate</w:t>
      </w:r>
      <w:r w:rsidRPr="00882B4B">
        <w:rPr>
          <w:rFonts w:asciiTheme="majorBidi" w:hAnsiTheme="majorBidi" w:cstheme="majorBidi"/>
          <w:sz w:val="24"/>
          <w:szCs w:val="24"/>
        </w:rPr>
        <w:t xml:space="preserve"> troponin </w:t>
      </w:r>
      <w:r w:rsidR="00594BFD">
        <w:rPr>
          <w:rFonts w:asciiTheme="majorBidi" w:hAnsiTheme="majorBidi" w:cstheme="majorBidi"/>
          <w:sz w:val="24"/>
          <w:szCs w:val="24"/>
        </w:rPr>
        <w:t>levels</w:t>
      </w:r>
      <w:r w:rsidRPr="00882B4B">
        <w:rPr>
          <w:rFonts w:asciiTheme="majorBidi" w:hAnsiTheme="majorBidi" w:cstheme="majorBidi"/>
          <w:sz w:val="24"/>
          <w:szCs w:val="24"/>
        </w:rPr>
        <w:t xml:space="preserve"> below the upper reference limits (URL) is unknown.</w:t>
      </w:r>
    </w:p>
    <w:p w:rsidR="00D81ADE" w:rsidRPr="00882B4B" w:rsidRDefault="00D81ADE" w:rsidP="00882B4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2B4B">
        <w:rPr>
          <w:rFonts w:asciiTheme="majorBidi" w:hAnsiTheme="majorBidi" w:cstheme="majorBidi"/>
          <w:bCs/>
          <w:sz w:val="24"/>
          <w:szCs w:val="24"/>
        </w:rPr>
        <w:t>Methods</w:t>
      </w:r>
      <w:r w:rsidRPr="00882B4B">
        <w:rPr>
          <w:rFonts w:asciiTheme="majorBidi" w:hAnsiTheme="majorBidi" w:cstheme="majorBidi"/>
          <w:sz w:val="24"/>
          <w:szCs w:val="24"/>
        </w:rPr>
        <w:t xml:space="preserve">: Retrospective observational study of patients with new onset AF admitted between 2003 and 2008. </w:t>
      </w:r>
      <w:r w:rsidR="00594BFD">
        <w:rPr>
          <w:rFonts w:asciiTheme="majorBidi" w:hAnsiTheme="majorBidi" w:cstheme="majorBidi"/>
          <w:sz w:val="24"/>
          <w:szCs w:val="24"/>
        </w:rPr>
        <w:t>Exclusion criteria: Troponin not assessed or positive</w:t>
      </w:r>
      <w:r w:rsidRPr="00882B4B">
        <w:rPr>
          <w:rFonts w:asciiTheme="majorBidi" w:hAnsiTheme="majorBidi" w:cstheme="majorBidi"/>
          <w:sz w:val="24"/>
          <w:szCs w:val="24"/>
        </w:rPr>
        <w:t xml:space="preserve"> (&gt;0.5 </w:t>
      </w:r>
      <w:proofErr w:type="spellStart"/>
      <w:r w:rsidRPr="00882B4B">
        <w:rPr>
          <w:rFonts w:asciiTheme="majorBidi" w:hAnsiTheme="majorBidi" w:cstheme="majorBidi"/>
          <w:sz w:val="24"/>
          <w:szCs w:val="24"/>
        </w:rPr>
        <w:t>ng</w:t>
      </w:r>
      <w:proofErr w:type="spellEnd"/>
      <w:r w:rsidRPr="00882B4B">
        <w:rPr>
          <w:rFonts w:asciiTheme="majorBidi" w:hAnsiTheme="majorBidi" w:cstheme="majorBidi"/>
          <w:sz w:val="24"/>
          <w:szCs w:val="24"/>
        </w:rPr>
        <w:t xml:space="preserve">/ml) and </w:t>
      </w:r>
      <w:r w:rsidR="00594BFD">
        <w:rPr>
          <w:rFonts w:asciiTheme="majorBidi" w:hAnsiTheme="majorBidi" w:cstheme="majorBidi"/>
          <w:sz w:val="24"/>
          <w:szCs w:val="24"/>
        </w:rPr>
        <w:t>no</w:t>
      </w:r>
      <w:r w:rsidRPr="00882B4B">
        <w:rPr>
          <w:rFonts w:asciiTheme="majorBidi" w:hAnsiTheme="majorBidi" w:cstheme="majorBidi"/>
          <w:sz w:val="24"/>
          <w:szCs w:val="24"/>
        </w:rPr>
        <w:t xml:space="preserve"> follow up. </w:t>
      </w:r>
      <w:r w:rsidR="00594BFD">
        <w:rPr>
          <w:rFonts w:asciiTheme="majorBidi" w:hAnsiTheme="majorBidi" w:cstheme="majorBidi"/>
          <w:sz w:val="24"/>
          <w:szCs w:val="24"/>
        </w:rPr>
        <w:t>Troponin cut offs in our lab</w:t>
      </w:r>
      <w:r w:rsidRPr="00882B4B">
        <w:rPr>
          <w:rFonts w:asciiTheme="majorBidi" w:hAnsiTheme="majorBidi" w:cstheme="majorBidi"/>
          <w:sz w:val="24"/>
          <w:szCs w:val="24"/>
        </w:rPr>
        <w:t xml:space="preserve">: negative: ≤ 0.04 </w:t>
      </w:r>
      <w:proofErr w:type="spellStart"/>
      <w:r w:rsidRPr="00882B4B">
        <w:rPr>
          <w:rFonts w:asciiTheme="majorBidi" w:hAnsiTheme="majorBidi" w:cstheme="majorBidi"/>
          <w:sz w:val="24"/>
          <w:szCs w:val="24"/>
        </w:rPr>
        <w:t>ng</w:t>
      </w:r>
      <w:proofErr w:type="spellEnd"/>
      <w:r w:rsidRPr="00882B4B">
        <w:rPr>
          <w:rFonts w:asciiTheme="majorBidi" w:hAnsiTheme="majorBidi" w:cstheme="majorBidi"/>
          <w:sz w:val="24"/>
          <w:szCs w:val="24"/>
        </w:rPr>
        <w:t xml:space="preserve">/mL, indeterminate: 0.05-0.50 </w:t>
      </w:r>
      <w:proofErr w:type="spellStart"/>
      <w:r w:rsidRPr="00882B4B">
        <w:rPr>
          <w:rFonts w:asciiTheme="majorBidi" w:hAnsiTheme="majorBidi" w:cstheme="majorBidi"/>
          <w:sz w:val="24"/>
          <w:szCs w:val="24"/>
        </w:rPr>
        <w:t>ng</w:t>
      </w:r>
      <w:proofErr w:type="spellEnd"/>
      <w:r w:rsidRPr="00882B4B">
        <w:rPr>
          <w:rFonts w:asciiTheme="majorBidi" w:hAnsiTheme="majorBidi" w:cstheme="majorBidi"/>
          <w:sz w:val="24"/>
          <w:szCs w:val="24"/>
        </w:rPr>
        <w:t xml:space="preserve">/mL, and positive: &gt; 0.5 </w:t>
      </w:r>
      <w:proofErr w:type="spellStart"/>
      <w:r w:rsidRPr="00882B4B">
        <w:rPr>
          <w:rFonts w:asciiTheme="majorBidi" w:hAnsiTheme="majorBidi" w:cstheme="majorBidi"/>
          <w:sz w:val="24"/>
          <w:szCs w:val="24"/>
        </w:rPr>
        <w:t>ng</w:t>
      </w:r>
      <w:proofErr w:type="spellEnd"/>
      <w:r w:rsidRPr="00882B4B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882B4B">
        <w:rPr>
          <w:rFonts w:asciiTheme="majorBidi" w:hAnsiTheme="majorBidi" w:cstheme="majorBidi"/>
          <w:sz w:val="24"/>
          <w:szCs w:val="24"/>
        </w:rPr>
        <w:t>mL.</w:t>
      </w:r>
      <w:proofErr w:type="spellEnd"/>
      <w:r w:rsidRPr="00882B4B">
        <w:rPr>
          <w:rFonts w:asciiTheme="majorBidi" w:hAnsiTheme="majorBidi" w:cstheme="majorBidi"/>
          <w:sz w:val="24"/>
          <w:szCs w:val="24"/>
        </w:rPr>
        <w:t xml:space="preserve"> Primary</w:t>
      </w:r>
      <w:r w:rsidR="00D02CD7">
        <w:rPr>
          <w:rFonts w:asciiTheme="majorBidi" w:hAnsiTheme="majorBidi" w:cstheme="majorBidi"/>
          <w:sz w:val="24"/>
          <w:szCs w:val="24"/>
        </w:rPr>
        <w:t xml:space="preserve"> outcome was a composite of </w:t>
      </w:r>
      <w:proofErr w:type="spellStart"/>
      <w:r w:rsidR="00D02CD7">
        <w:rPr>
          <w:rFonts w:asciiTheme="majorBidi" w:hAnsiTheme="majorBidi" w:cstheme="majorBidi"/>
          <w:sz w:val="24"/>
          <w:szCs w:val="24"/>
        </w:rPr>
        <w:t>all</w:t>
      </w:r>
      <w:r w:rsidRPr="00882B4B">
        <w:rPr>
          <w:rFonts w:asciiTheme="majorBidi" w:hAnsiTheme="majorBidi" w:cstheme="majorBidi"/>
          <w:sz w:val="24"/>
          <w:szCs w:val="24"/>
        </w:rPr>
        <w:t>cause</w:t>
      </w:r>
      <w:proofErr w:type="spellEnd"/>
      <w:r w:rsidRPr="00882B4B">
        <w:rPr>
          <w:rFonts w:asciiTheme="majorBidi" w:hAnsiTheme="majorBidi" w:cstheme="majorBidi"/>
          <w:sz w:val="24"/>
          <w:szCs w:val="24"/>
        </w:rPr>
        <w:t xml:space="preserve"> mortality and re-hospitalization for acute coronary syndrome, congestive heart failure, s</w:t>
      </w:r>
      <w:bookmarkStart w:id="0" w:name="_GoBack"/>
      <w:bookmarkEnd w:id="0"/>
      <w:r w:rsidRPr="00882B4B">
        <w:rPr>
          <w:rFonts w:asciiTheme="majorBidi" w:hAnsiTheme="majorBidi" w:cstheme="majorBidi"/>
          <w:sz w:val="24"/>
          <w:szCs w:val="24"/>
        </w:rPr>
        <w:t xml:space="preserve">troke, or atrial fibrillation. </w:t>
      </w:r>
    </w:p>
    <w:p w:rsidR="00D81ADE" w:rsidRPr="00882B4B" w:rsidRDefault="00D81ADE" w:rsidP="00882B4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2B4B">
        <w:rPr>
          <w:rFonts w:asciiTheme="majorBidi" w:hAnsiTheme="majorBidi" w:cstheme="majorBidi"/>
          <w:bCs/>
          <w:sz w:val="24"/>
          <w:szCs w:val="24"/>
        </w:rPr>
        <w:t>Results:</w:t>
      </w:r>
      <w:r w:rsidR="00594BFD">
        <w:rPr>
          <w:rFonts w:asciiTheme="majorBidi" w:hAnsiTheme="majorBidi" w:cstheme="majorBidi"/>
          <w:sz w:val="24"/>
          <w:szCs w:val="24"/>
        </w:rPr>
        <w:t xml:space="preserve"> </w:t>
      </w:r>
      <w:r w:rsidRPr="00882B4B">
        <w:rPr>
          <w:rFonts w:asciiTheme="majorBidi" w:hAnsiTheme="majorBidi" w:cstheme="majorBidi"/>
          <w:sz w:val="24"/>
          <w:szCs w:val="24"/>
        </w:rPr>
        <w:t xml:space="preserve">307 patients were included in </w:t>
      </w:r>
      <w:r w:rsidR="00594BFD">
        <w:rPr>
          <w:rFonts w:asciiTheme="majorBidi" w:hAnsiTheme="majorBidi" w:cstheme="majorBidi"/>
          <w:sz w:val="24"/>
          <w:szCs w:val="24"/>
        </w:rPr>
        <w:t>the</w:t>
      </w:r>
      <w:r w:rsidRPr="00882B4B">
        <w:rPr>
          <w:rFonts w:asciiTheme="majorBidi" w:hAnsiTheme="majorBidi" w:cstheme="majorBidi"/>
          <w:sz w:val="24"/>
          <w:szCs w:val="24"/>
        </w:rPr>
        <w:t xml:space="preserve"> final analysis. Older age, coronary </w:t>
      </w:r>
      <w:r w:rsidR="00594BFD">
        <w:rPr>
          <w:rFonts w:asciiTheme="majorBidi" w:hAnsiTheme="majorBidi" w:cstheme="majorBidi"/>
          <w:sz w:val="24"/>
          <w:szCs w:val="24"/>
        </w:rPr>
        <w:t xml:space="preserve">artery </w:t>
      </w:r>
      <w:r w:rsidRPr="00882B4B">
        <w:rPr>
          <w:rFonts w:asciiTheme="majorBidi" w:hAnsiTheme="majorBidi" w:cstheme="majorBidi"/>
          <w:sz w:val="24"/>
          <w:szCs w:val="24"/>
        </w:rPr>
        <w:t xml:space="preserve">disease, peripheral vascular disease, congestive heart failure, troponins, BNP, and lower ejection fraction were </w:t>
      </w:r>
      <w:proofErr w:type="spellStart"/>
      <w:r w:rsidRPr="00882B4B">
        <w:rPr>
          <w:rFonts w:asciiTheme="majorBidi" w:hAnsiTheme="majorBidi" w:cstheme="majorBidi"/>
          <w:sz w:val="24"/>
          <w:szCs w:val="24"/>
        </w:rPr>
        <w:t>univariate</w:t>
      </w:r>
      <w:proofErr w:type="spellEnd"/>
      <w:r w:rsidRPr="00882B4B">
        <w:rPr>
          <w:rFonts w:asciiTheme="majorBidi" w:hAnsiTheme="majorBidi" w:cstheme="majorBidi"/>
          <w:sz w:val="24"/>
          <w:szCs w:val="24"/>
        </w:rPr>
        <w:t xml:space="preserve"> predictors of the primary endpoint. Low ejection fraction, and congestive heart failure were independent predictors on multivariate analysis. There was a trend towards increased mortality in older patients. </w:t>
      </w:r>
    </w:p>
    <w:p w:rsidR="004D7592" w:rsidRPr="00882B4B" w:rsidRDefault="00D81ADE" w:rsidP="00D02CD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2B4B">
        <w:rPr>
          <w:rFonts w:asciiTheme="majorBidi" w:hAnsiTheme="majorBidi" w:cstheme="majorBidi"/>
          <w:bCs/>
          <w:sz w:val="24"/>
          <w:szCs w:val="24"/>
        </w:rPr>
        <w:t>Conclusions</w:t>
      </w:r>
      <w:r w:rsidRPr="00882B4B">
        <w:rPr>
          <w:rFonts w:asciiTheme="majorBidi" w:hAnsiTheme="majorBidi" w:cstheme="majorBidi"/>
          <w:sz w:val="24"/>
          <w:szCs w:val="24"/>
        </w:rPr>
        <w:t xml:space="preserve">: In patients with new-onset atrial fibrillation, troponin elevation below the threshold for positivity is frequent and is a predictor of adverse outcomes. However, this is solely a marker of underlying risk and the effect is negated after adjustment for baseline risk factors. 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21"/>
        <w:gridCol w:w="1260"/>
        <w:gridCol w:w="1250"/>
        <w:gridCol w:w="955"/>
      </w:tblGrid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Troponin≤0.04ng/mL (179)</w:t>
            </w:r>
          </w:p>
        </w:tc>
        <w:tc>
          <w:tcPr>
            <w:tcW w:w="1260" w:type="dxa"/>
          </w:tcPr>
          <w:p w:rsidR="00D81ADE" w:rsidRPr="00D02CD7" w:rsidRDefault="00D81ADE" w:rsidP="00C11EB1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Troponin 0.04-0.5 (128)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Total (307)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p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Age in years ± SD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69.3±13.5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73.7±11.4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71.2±12.8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0.003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Male n (%)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94 (53)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69 (54)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163 (54)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0.81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Diabetes n (%)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42 (24)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40 (31)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82 (27)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0.12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Hypertension n (%)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128 (72)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83 (65)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211 (69)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0.21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Hyperlipidemia n (%)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83 (46)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51 (40)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134 (44)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0.25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 xml:space="preserve">Coronary artery disease </w:t>
            </w:r>
            <w:r w:rsidR="00F865C4" w:rsidRPr="00D02CD7">
              <w:rPr>
                <w:rFonts w:asciiTheme="majorBidi" w:eastAsia="Calibri" w:hAnsiTheme="majorBidi" w:cstheme="majorBidi"/>
              </w:rPr>
              <w:t>n (</w:t>
            </w:r>
            <w:r w:rsidRPr="00D02CD7">
              <w:rPr>
                <w:rFonts w:asciiTheme="majorBidi" w:eastAsia="Calibri" w:hAnsiTheme="majorBidi" w:cstheme="majorBidi"/>
              </w:rPr>
              <w:t>%)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58 (32)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56 (44)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114 (37)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  <w:highlight w:val="yellow"/>
              </w:rPr>
            </w:pPr>
            <w:r w:rsidRPr="00D02CD7">
              <w:rPr>
                <w:rFonts w:asciiTheme="majorBidi" w:eastAsia="Calibri" w:hAnsiTheme="majorBidi" w:cstheme="majorBidi"/>
              </w:rPr>
              <w:t>0.04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 xml:space="preserve">Peripheral vascular disease </w:t>
            </w:r>
            <w:proofErr w:type="gramStart"/>
            <w:r w:rsidRPr="00D02CD7">
              <w:rPr>
                <w:rFonts w:asciiTheme="majorBidi" w:eastAsia="Calibri" w:hAnsiTheme="majorBidi" w:cstheme="majorBidi"/>
              </w:rPr>
              <w:t>n(</w:t>
            </w:r>
            <w:proofErr w:type="gramEnd"/>
            <w:r w:rsidRPr="00D02CD7">
              <w:rPr>
                <w:rFonts w:asciiTheme="majorBidi" w:eastAsia="Calibri" w:hAnsiTheme="majorBidi" w:cstheme="majorBidi"/>
              </w:rPr>
              <w:t>%)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14 (8)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20 (16)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34 (11)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  <w:highlight w:val="yellow"/>
              </w:rPr>
            </w:pPr>
            <w:r w:rsidRPr="00D02CD7">
              <w:rPr>
                <w:rFonts w:asciiTheme="majorBidi" w:eastAsia="Calibri" w:hAnsiTheme="majorBidi" w:cstheme="majorBidi"/>
              </w:rPr>
              <w:t>0.03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D02CD7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 xml:space="preserve">Congestive heart failure </w:t>
            </w:r>
            <w:proofErr w:type="gramStart"/>
            <w:r w:rsidR="00F865C4" w:rsidRPr="00D02CD7">
              <w:rPr>
                <w:rFonts w:asciiTheme="majorBidi" w:eastAsia="Calibri" w:hAnsiTheme="majorBidi" w:cstheme="majorBidi"/>
              </w:rPr>
              <w:t>n</w:t>
            </w:r>
            <w:r w:rsidR="00D02CD7" w:rsidRPr="00D02CD7">
              <w:rPr>
                <w:rFonts w:asciiTheme="majorBidi" w:eastAsia="Calibri" w:hAnsiTheme="majorBidi" w:cstheme="majorBidi"/>
              </w:rPr>
              <w:t>(</w:t>
            </w:r>
            <w:proofErr w:type="gramEnd"/>
            <w:r w:rsidR="00D02CD7" w:rsidRPr="00D02CD7">
              <w:rPr>
                <w:rFonts w:asciiTheme="majorBidi" w:eastAsia="Calibri" w:hAnsiTheme="majorBidi" w:cstheme="majorBidi"/>
              </w:rPr>
              <w:t>%)</w:t>
            </w:r>
            <w:r w:rsidR="00F865C4" w:rsidRPr="00D02CD7">
              <w:rPr>
                <w:rFonts w:asciiTheme="majorBidi" w:eastAsia="Calibri" w:hAnsiTheme="majorBidi" w:cstheme="majorBidi"/>
              </w:rPr>
              <w:t xml:space="preserve"> 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54 (30)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66 (52)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120 (39)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  <w:highlight w:val="yellow"/>
              </w:rPr>
            </w:pPr>
            <w:r w:rsidRPr="00D02CD7">
              <w:rPr>
                <w:rFonts w:asciiTheme="majorBidi" w:eastAsia="Calibri" w:hAnsiTheme="majorBidi" w:cstheme="majorBidi"/>
              </w:rPr>
              <w:t>&lt;0.001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Aspirin n (%)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69 (39)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53 (41)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122 (40)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0.42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Coumadin n (%)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70 (39)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46 (36)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116 (38)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0.57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Beta blocker n (%)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89 (50)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60 (47)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149 (49)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0.59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ACE inhibitors/ARB’s n</w:t>
            </w:r>
            <w:r w:rsidR="00F865C4" w:rsidRPr="00D02CD7">
              <w:rPr>
                <w:rFonts w:asciiTheme="majorBidi" w:eastAsia="Calibri" w:hAnsiTheme="majorBidi" w:cstheme="majorBidi"/>
              </w:rPr>
              <w:t xml:space="preserve"> </w:t>
            </w:r>
            <w:r w:rsidRPr="00D02CD7">
              <w:rPr>
                <w:rFonts w:asciiTheme="majorBidi" w:eastAsia="Calibri" w:hAnsiTheme="majorBidi" w:cstheme="majorBidi"/>
              </w:rPr>
              <w:t xml:space="preserve">(%) 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88 (49)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65 (51)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153 (50)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0.78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Statins n (%)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66 (37)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40 (31)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106 (35)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0.30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proofErr w:type="spellStart"/>
            <w:r w:rsidRPr="00D02CD7">
              <w:rPr>
                <w:rFonts w:asciiTheme="majorBidi" w:eastAsia="Calibri" w:hAnsiTheme="majorBidi" w:cstheme="majorBidi"/>
              </w:rPr>
              <w:t>Antiarrhythmics</w:t>
            </w:r>
            <w:proofErr w:type="spellEnd"/>
            <w:r w:rsidRPr="00D02CD7">
              <w:rPr>
                <w:rFonts w:asciiTheme="majorBidi" w:eastAsia="Calibri" w:hAnsiTheme="majorBidi" w:cstheme="majorBidi"/>
              </w:rPr>
              <w:t xml:space="preserve"> n (%)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19 (11)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13 (10)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32 (10)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0.89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proofErr w:type="spellStart"/>
            <w:r w:rsidRPr="00D02CD7">
              <w:rPr>
                <w:rFonts w:asciiTheme="majorBidi" w:eastAsia="Calibri" w:hAnsiTheme="majorBidi" w:cstheme="majorBidi"/>
              </w:rPr>
              <w:t>Creatinine</w:t>
            </w:r>
            <w:proofErr w:type="spellEnd"/>
            <w:r w:rsidRPr="00D02CD7">
              <w:rPr>
                <w:rFonts w:asciiTheme="majorBidi" w:eastAsia="Calibri" w:hAnsiTheme="majorBidi" w:cstheme="majorBidi"/>
              </w:rPr>
              <w:t xml:space="preserve"> (mg/</w:t>
            </w:r>
            <w:proofErr w:type="spellStart"/>
            <w:r w:rsidRPr="00D02CD7">
              <w:rPr>
                <w:rFonts w:asciiTheme="majorBidi" w:eastAsia="Calibri" w:hAnsiTheme="majorBidi" w:cstheme="majorBidi"/>
              </w:rPr>
              <w:t>dL</w:t>
            </w:r>
            <w:proofErr w:type="spellEnd"/>
            <w:r w:rsidRPr="00D02CD7">
              <w:rPr>
                <w:rFonts w:asciiTheme="majorBidi" w:eastAsia="Calibri" w:hAnsiTheme="majorBidi" w:cstheme="majorBidi"/>
              </w:rPr>
              <w:t>) ± SD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1.2 1±1.05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1.54±1.05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1.37±1.06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  <w:highlight w:val="yellow"/>
              </w:rPr>
            </w:pPr>
            <w:r w:rsidRPr="00D02CD7">
              <w:rPr>
                <w:rFonts w:asciiTheme="majorBidi" w:eastAsia="Calibri" w:hAnsiTheme="majorBidi" w:cstheme="majorBidi"/>
              </w:rPr>
              <w:t>0.01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BNP (</w:t>
            </w:r>
            <w:proofErr w:type="spellStart"/>
            <w:r w:rsidRPr="00D02CD7">
              <w:rPr>
                <w:rFonts w:asciiTheme="majorBidi" w:eastAsia="Calibri" w:hAnsiTheme="majorBidi" w:cstheme="majorBidi"/>
              </w:rPr>
              <w:t>pg</w:t>
            </w:r>
            <w:proofErr w:type="spellEnd"/>
            <w:r w:rsidRPr="00D02CD7">
              <w:rPr>
                <w:rFonts w:asciiTheme="majorBidi" w:eastAsia="Calibri" w:hAnsiTheme="majorBidi" w:cstheme="majorBidi"/>
              </w:rPr>
              <w:t>/mL) ±SD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408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855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624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  <w:highlight w:val="yellow"/>
              </w:rPr>
            </w:pPr>
            <w:r w:rsidRPr="00D02CD7">
              <w:rPr>
                <w:rFonts w:asciiTheme="majorBidi" w:eastAsia="Calibri" w:hAnsiTheme="majorBidi" w:cstheme="majorBidi"/>
              </w:rPr>
              <w:t>0.002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Troponin (</w:t>
            </w:r>
            <w:proofErr w:type="spellStart"/>
            <w:r w:rsidRPr="00D02CD7">
              <w:rPr>
                <w:rFonts w:asciiTheme="majorBidi" w:eastAsia="Calibri" w:hAnsiTheme="majorBidi" w:cstheme="majorBidi"/>
              </w:rPr>
              <w:t>ng</w:t>
            </w:r>
            <w:proofErr w:type="spellEnd"/>
            <w:r w:rsidRPr="00D02CD7">
              <w:rPr>
                <w:rFonts w:asciiTheme="majorBidi" w:eastAsia="Calibri" w:hAnsiTheme="majorBidi" w:cstheme="majorBidi"/>
              </w:rPr>
              <w:t>/mL) ±SD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0.02±0.01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0.12±0.09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0.06±0.08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  <w:highlight w:val="yellow"/>
              </w:rPr>
            </w:pPr>
            <w:r w:rsidRPr="00D02CD7">
              <w:rPr>
                <w:rFonts w:asciiTheme="majorBidi" w:eastAsia="Calibri" w:hAnsiTheme="majorBidi" w:cstheme="majorBidi"/>
              </w:rPr>
              <w:t>&lt;0.001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EF (%) ± SD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51.8±12.7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45.8±15.7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49.4±14.3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  <w:highlight w:val="yellow"/>
              </w:rPr>
            </w:pPr>
            <w:r w:rsidRPr="00D02CD7">
              <w:rPr>
                <w:rFonts w:asciiTheme="majorBidi" w:eastAsia="Calibri" w:hAnsiTheme="majorBidi" w:cstheme="majorBidi"/>
              </w:rPr>
              <w:t>&lt;0.001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 xml:space="preserve">Death 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10 (6)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18 (14)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28 (9)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  <w:highlight w:val="yellow"/>
              </w:rPr>
            </w:pPr>
            <w:r w:rsidRPr="00D02CD7">
              <w:rPr>
                <w:rFonts w:asciiTheme="majorBidi" w:eastAsia="Calibri" w:hAnsiTheme="majorBidi" w:cstheme="majorBidi"/>
              </w:rPr>
              <w:t>0.01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Hospitalization(CHF,AF,ACS)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45 (25)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36 (28)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81 (26)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0.5</w:t>
            </w:r>
          </w:p>
        </w:tc>
      </w:tr>
      <w:tr w:rsidR="00D81ADE" w:rsidRPr="00D02CD7" w:rsidTr="00D02CD7">
        <w:tc>
          <w:tcPr>
            <w:tcW w:w="3119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Composite endpoint</w:t>
            </w:r>
          </w:p>
        </w:tc>
        <w:tc>
          <w:tcPr>
            <w:tcW w:w="1921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51 (28)</w:t>
            </w:r>
          </w:p>
        </w:tc>
        <w:tc>
          <w:tcPr>
            <w:tcW w:w="126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 xml:space="preserve">53 (41) </w:t>
            </w:r>
          </w:p>
        </w:tc>
        <w:tc>
          <w:tcPr>
            <w:tcW w:w="1250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104 (34)</w:t>
            </w:r>
          </w:p>
        </w:tc>
        <w:tc>
          <w:tcPr>
            <w:tcW w:w="955" w:type="dxa"/>
          </w:tcPr>
          <w:p w:rsidR="00D81ADE" w:rsidRPr="00D02CD7" w:rsidRDefault="00D81ADE" w:rsidP="00882B4B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D02CD7">
              <w:rPr>
                <w:rFonts w:asciiTheme="majorBidi" w:eastAsia="Calibri" w:hAnsiTheme="majorBidi" w:cstheme="majorBidi"/>
              </w:rPr>
              <w:t>0.01</w:t>
            </w:r>
          </w:p>
        </w:tc>
      </w:tr>
    </w:tbl>
    <w:p w:rsidR="00D81ADE" w:rsidRPr="00D02CD7" w:rsidRDefault="00D81ADE" w:rsidP="00EE2E01">
      <w:pPr>
        <w:spacing w:after="0" w:line="240" w:lineRule="auto"/>
        <w:rPr>
          <w:rFonts w:asciiTheme="majorBidi" w:hAnsiTheme="majorBidi" w:cstheme="majorBidi"/>
        </w:rPr>
      </w:pPr>
    </w:p>
    <w:sectPr w:rsidR="00D81ADE" w:rsidRPr="00D02CD7" w:rsidSect="003C6519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F7" w:rsidRDefault="003B6BF7" w:rsidP="00752917">
      <w:pPr>
        <w:spacing w:after="0" w:line="240" w:lineRule="auto"/>
      </w:pPr>
      <w:r>
        <w:separator/>
      </w:r>
    </w:p>
  </w:endnote>
  <w:endnote w:type="continuationSeparator" w:id="0">
    <w:p w:rsidR="003B6BF7" w:rsidRDefault="003B6BF7" w:rsidP="0075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F7" w:rsidRDefault="003B6BF7" w:rsidP="00752917">
      <w:pPr>
        <w:spacing w:after="0" w:line="240" w:lineRule="auto"/>
      </w:pPr>
      <w:r>
        <w:separator/>
      </w:r>
    </w:p>
  </w:footnote>
  <w:footnote w:type="continuationSeparator" w:id="0">
    <w:p w:rsidR="003B6BF7" w:rsidRDefault="003B6BF7" w:rsidP="0075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19" w:rsidRDefault="003C6519" w:rsidP="003C6519">
    <w:pPr>
      <w:pStyle w:val="Header"/>
    </w:pPr>
    <w:r>
      <w:t>1310, oral or poster, cat: 45</w:t>
    </w:r>
  </w:p>
  <w:p w:rsidR="00752917" w:rsidRDefault="00752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4A5B"/>
    <w:multiLevelType w:val="hybridMultilevel"/>
    <w:tmpl w:val="8A1612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6E"/>
    <w:rsid w:val="00000787"/>
    <w:rsid w:val="000C03BB"/>
    <w:rsid w:val="00103439"/>
    <w:rsid w:val="001D0DB6"/>
    <w:rsid w:val="002318B2"/>
    <w:rsid w:val="00245D5D"/>
    <w:rsid w:val="003B6BF7"/>
    <w:rsid w:val="003C6519"/>
    <w:rsid w:val="00410296"/>
    <w:rsid w:val="00481A8E"/>
    <w:rsid w:val="004D7592"/>
    <w:rsid w:val="00594BFD"/>
    <w:rsid w:val="005F595A"/>
    <w:rsid w:val="005F7744"/>
    <w:rsid w:val="0065756E"/>
    <w:rsid w:val="006E35C8"/>
    <w:rsid w:val="00734B3A"/>
    <w:rsid w:val="00752917"/>
    <w:rsid w:val="007B0D21"/>
    <w:rsid w:val="00882B4B"/>
    <w:rsid w:val="00927584"/>
    <w:rsid w:val="00AB70AD"/>
    <w:rsid w:val="00B00A65"/>
    <w:rsid w:val="00B33079"/>
    <w:rsid w:val="00C11EB1"/>
    <w:rsid w:val="00C30CB4"/>
    <w:rsid w:val="00C41127"/>
    <w:rsid w:val="00D02CD7"/>
    <w:rsid w:val="00D6342A"/>
    <w:rsid w:val="00D81ADE"/>
    <w:rsid w:val="00D83E5D"/>
    <w:rsid w:val="00E726BB"/>
    <w:rsid w:val="00EE2E01"/>
    <w:rsid w:val="00F8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6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17"/>
  </w:style>
  <w:style w:type="paragraph" w:styleId="Footer">
    <w:name w:val="footer"/>
    <w:basedOn w:val="Normal"/>
    <w:link w:val="FooterChar"/>
    <w:uiPriority w:val="99"/>
    <w:unhideWhenUsed/>
    <w:rsid w:val="00752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17"/>
  </w:style>
  <w:style w:type="paragraph" w:styleId="BalloonText">
    <w:name w:val="Balloon Text"/>
    <w:basedOn w:val="Normal"/>
    <w:link w:val="BalloonTextChar"/>
    <w:uiPriority w:val="99"/>
    <w:semiHidden/>
    <w:unhideWhenUsed/>
    <w:rsid w:val="0075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6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17"/>
  </w:style>
  <w:style w:type="paragraph" w:styleId="Footer">
    <w:name w:val="footer"/>
    <w:basedOn w:val="Normal"/>
    <w:link w:val="FooterChar"/>
    <w:uiPriority w:val="99"/>
    <w:unhideWhenUsed/>
    <w:rsid w:val="00752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17"/>
  </w:style>
  <w:style w:type="paragraph" w:styleId="BalloonText">
    <w:name w:val="Balloon Text"/>
    <w:basedOn w:val="Normal"/>
    <w:link w:val="BalloonTextChar"/>
    <w:uiPriority w:val="99"/>
    <w:semiHidden/>
    <w:unhideWhenUsed/>
    <w:rsid w:val="0075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8224-2CC8-4B90-82CE-FF0E5D8B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88EC8B6</Template>
  <TotalTime>1</TotalTime>
  <Pages>1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Inc.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Target</cp:lastModifiedBy>
  <cp:revision>2</cp:revision>
  <dcterms:created xsi:type="dcterms:W3CDTF">2012-03-25T10:26:00Z</dcterms:created>
  <dcterms:modified xsi:type="dcterms:W3CDTF">2012-03-25T10:26:00Z</dcterms:modified>
</cp:coreProperties>
</file>